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80" w:right="-360" w:hanging="0"/>
        <w:jc w:val="both"/>
        <w:rPr>
          <w:sz w:val="22"/>
          <w:szCs w:val="22"/>
        </w:rPr>
      </w:pPr>
      <w:r>
        <w:rPr/>
        <w:drawing>
          <wp:inline distT="0" distB="0" distL="0" distR="0">
            <wp:extent cx="400050" cy="657225"/>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ttachment"/>
                    <pic:cNvPicPr>
                      <a:picLocks noChangeAspect="1" noChangeArrowheads="1"/>
                    </pic:cNvPicPr>
                  </pic:nvPicPr>
                  <pic:blipFill>
                    <a:blip r:embed="rId2"/>
                    <a:stretch>
                      <a:fillRect/>
                    </a:stretch>
                  </pic:blipFill>
                  <pic:spPr bwMode="auto">
                    <a:xfrm>
                      <a:off x="0" y="0"/>
                      <a:ext cx="400050" cy="657225"/>
                    </a:xfrm>
                    <a:prstGeom prst="rect">
                      <a:avLst/>
                    </a:prstGeom>
                  </pic:spPr>
                </pic:pic>
              </a:graphicData>
            </a:graphic>
          </wp:inline>
        </w:drawing>
      </w:r>
    </w:p>
    <w:p>
      <w:pPr>
        <w:pStyle w:val="Normal"/>
        <w:ind w:left="-180" w:right="-360" w:hanging="0"/>
        <w:jc w:val="both"/>
        <w:rPr>
          <w:sz w:val="22"/>
          <w:szCs w:val="22"/>
        </w:rPr>
      </w:pPr>
      <w:r>
        <w:rPr>
          <w:sz w:val="22"/>
          <w:szCs w:val="22"/>
        </w:rPr>
        <w:t>РЕПУБЛИКА СРБИЈА</w:t>
      </w:r>
    </w:p>
    <w:p>
      <w:pPr>
        <w:pStyle w:val="Normal"/>
        <w:ind w:left="-180" w:right="-360" w:hanging="0"/>
        <w:jc w:val="both"/>
        <w:rPr>
          <w:sz w:val="22"/>
          <w:szCs w:val="22"/>
        </w:rPr>
      </w:pPr>
      <w:r>
        <w:rPr>
          <w:sz w:val="22"/>
          <w:szCs w:val="22"/>
        </w:rPr>
        <w:t>ЈАВНИ ИЗВРШИТЕЉ ОМЕР ЕКИЋ</w:t>
      </w:r>
    </w:p>
    <w:p>
      <w:pPr>
        <w:pStyle w:val="Normal"/>
        <w:ind w:left="-180" w:right="-360" w:hanging="0"/>
        <w:jc w:val="both"/>
        <w:rPr>
          <w:sz w:val="22"/>
          <w:szCs w:val="22"/>
        </w:rPr>
      </w:pPr>
      <w:r>
        <w:rPr>
          <w:sz w:val="22"/>
          <w:szCs w:val="22"/>
        </w:rPr>
        <w:t xml:space="preserve">КРУШЕВАЦ, Стевана Синђелића 27/1, Телефони (065) 345-84-76, (037) 20-97-79 </w:t>
      </w:r>
    </w:p>
    <w:p>
      <w:pPr>
        <w:pStyle w:val="Normal"/>
        <w:widowControl/>
        <w:suppressAutoHyphens w:val="true"/>
        <w:bidi w:val="0"/>
        <w:ind w:left="-180" w:right="-360" w:hanging="0"/>
        <w:jc w:val="left"/>
        <w:rPr>
          <w:rFonts w:ascii="Times New Roman" w:hAnsi="Times New Roman" w:cs="Times New Roman"/>
          <w:sz w:val="23"/>
          <w:szCs w:val="23"/>
          <w:lang w:val="sr-CS"/>
        </w:rPr>
      </w:pPr>
      <w:r>
        <w:rPr>
          <w:rFonts w:cs="Times New Roman"/>
          <w:sz w:val="23"/>
          <w:szCs w:val="23"/>
          <w:lang w:val="sr-CS"/>
        </w:rPr>
        <w:t>Број: ИИ 107/25</w:t>
      </w:r>
    </w:p>
    <w:p>
      <w:pPr>
        <w:pStyle w:val="Normal"/>
        <w:widowControl/>
        <w:suppressAutoHyphens w:val="true"/>
        <w:bidi w:val="0"/>
        <w:ind w:left="-180" w:right="-360" w:hanging="0"/>
        <w:jc w:val="left"/>
        <w:rPr/>
      </w:pPr>
      <w:r>
        <w:rPr>
          <w:rFonts w:cs="Times New Roman"/>
          <w:sz w:val="23"/>
          <w:szCs w:val="23"/>
          <w:lang w:val="sr-CS"/>
        </w:rPr>
        <w:t xml:space="preserve">Дана: </w:t>
      </w:r>
      <w:r>
        <w:rPr>
          <w:rFonts w:cs="Times New Roman"/>
          <w:sz w:val="23"/>
          <w:szCs w:val="23"/>
          <w:lang w:val="sr-CS"/>
        </w:rPr>
        <w:t>03.02.2026</w:t>
      </w:r>
      <w:r>
        <w:rPr>
          <w:rFonts w:cs="Times New Roman"/>
          <w:sz w:val="23"/>
          <w:szCs w:val="23"/>
          <w:lang w:val="sr-CS"/>
        </w:rPr>
        <w:t>.</w:t>
      </w:r>
    </w:p>
    <w:p>
      <w:pPr>
        <w:pStyle w:val="Normal"/>
        <w:ind w:left="-180" w:right="-360" w:hanging="0"/>
        <w:rPr>
          <w:rFonts w:ascii="Times New Roman" w:hAnsi="Times New Roman" w:cs="Times New Roman"/>
          <w:sz w:val="23"/>
          <w:szCs w:val="23"/>
          <w:lang w:val="sr-CS"/>
        </w:rPr>
      </w:pPr>
      <w:r>
        <w:rPr>
          <w:rFonts w:cs="Times New Roman"/>
          <w:sz w:val="23"/>
          <w:szCs w:val="23"/>
          <w:lang w:val="sr-CS"/>
        </w:rPr>
      </w:r>
    </w:p>
    <w:p>
      <w:pPr>
        <w:pStyle w:val="Normal"/>
        <w:ind w:left="-180" w:right="-360" w:hanging="0"/>
        <w:rPr>
          <w:rFonts w:ascii="Times New Roman" w:hAnsi="Times New Roman" w:cs="Times New Roman"/>
          <w:sz w:val="23"/>
          <w:szCs w:val="23"/>
          <w:lang w:val="sr-CS"/>
        </w:rPr>
      </w:pPr>
      <w:r>
        <w:rPr>
          <w:rFonts w:cs="Times New Roman"/>
          <w:sz w:val="23"/>
          <w:szCs w:val="23"/>
          <w:lang w:val="sr-CS"/>
        </w:rPr>
      </w:r>
    </w:p>
    <w:p>
      <w:pPr>
        <w:pStyle w:val="Normal"/>
        <w:widowControl/>
        <w:suppressAutoHyphens w:val="true"/>
        <w:bidi w:val="0"/>
        <w:ind w:left="-180" w:right="-360" w:firstLine="360"/>
        <w:jc w:val="both"/>
        <w:rPr/>
      </w:pPr>
      <w:r>
        <w:rPr>
          <w:rFonts w:eastAsia="Arial" w:cs="Times New Roman"/>
          <w:color w:val="000000"/>
          <w:sz w:val="22"/>
          <w:szCs w:val="22"/>
          <w:lang w:val="sr-RS"/>
        </w:rPr>
        <w:t>ЈАВНИ</w:t>
      </w:r>
      <w:r>
        <w:rPr>
          <w:rFonts w:eastAsia="Arial" w:cs="Times New Roman"/>
          <w:color w:val="000000"/>
          <w:sz w:val="22"/>
          <w:szCs w:val="22"/>
          <w:lang w:val="sr-CS"/>
        </w:rPr>
        <w:t xml:space="preserve"> ИЗВРШИТЕЉ ОМЕР ЕКИЋ, именован за подручје Вишег суда у </w:t>
      </w:r>
      <w:r>
        <w:rPr>
          <w:rFonts w:eastAsia="Arial" w:cs="Times New Roman"/>
          <w:color w:val="000000"/>
          <w:sz w:val="22"/>
          <w:szCs w:val="22"/>
          <w:lang w:val="sr-Latn-RS"/>
        </w:rPr>
        <w:t>Крушевцу</w:t>
      </w:r>
      <w:r>
        <w:rPr>
          <w:rFonts w:eastAsia="Arial" w:cs="Times New Roman"/>
          <w:color w:val="000000"/>
          <w:sz w:val="22"/>
          <w:szCs w:val="22"/>
          <w:lang w:val="sr-CS"/>
        </w:rPr>
        <w:t xml:space="preserve"> и Привредног суда у Краљеву, у извршн</w:t>
      </w:r>
      <w:r>
        <w:rPr>
          <w:rFonts w:eastAsia="Arial" w:cs="Times New Roman"/>
          <w:color w:val="000000"/>
          <w:sz w:val="22"/>
          <w:szCs w:val="22"/>
          <w:lang w:val="sr-RS"/>
        </w:rPr>
        <w:t>о</w:t>
      </w:r>
      <w:r>
        <w:rPr>
          <w:rFonts w:eastAsia="Arial" w:cs="Times New Roman"/>
          <w:color w:val="000000"/>
          <w:sz w:val="22"/>
          <w:szCs w:val="22"/>
          <w:lang w:val="sr-CS"/>
        </w:rPr>
        <w:t>м предмету ИИ 107/25, извршног повериоца: ДРАГОЈЕ ПАВЛОВИЋ, Велика Грабовница бб, ЈМБГ 1306965782619, чији је пуномоћник адв. Југослав Вукајловић, из Бруса, против извршног дужника: МИЉКО КНЕЖЕВИЋ, Велика Грабовница, Деспота Ђурђа 050, ЈМБГ 23099647826188, ради новчаног потраживања, у свему према решењу о извршењу Основног суда у Брусу ИИ-83/2025 од 29.04.2025. године, донео је следећи</w:t>
      </w:r>
    </w:p>
    <w:p>
      <w:pPr>
        <w:pStyle w:val="Normal"/>
        <w:ind w:left="-180" w:right="-360" w:hanging="0"/>
        <w:jc w:val="both"/>
        <w:rPr>
          <w:rFonts w:eastAsia="Arial"/>
          <w:color w:val="000000"/>
          <w:sz w:val="22"/>
          <w:szCs w:val="22"/>
        </w:rPr>
      </w:pPr>
      <w:r>
        <w:rPr>
          <w:rFonts w:eastAsia="Arial"/>
          <w:color w:val="000000"/>
          <w:sz w:val="22"/>
          <w:szCs w:val="22"/>
        </w:rPr>
      </w:r>
    </w:p>
    <w:p>
      <w:pPr>
        <w:pStyle w:val="Normal"/>
        <w:ind w:left="-180" w:right="-360" w:hanging="0"/>
        <w:jc w:val="both"/>
        <w:rPr>
          <w:sz w:val="28"/>
          <w:szCs w:val="28"/>
        </w:rPr>
      </w:pPr>
      <w:r>
        <w:rPr>
          <w:sz w:val="28"/>
          <w:szCs w:val="28"/>
        </w:rPr>
      </w:r>
    </w:p>
    <w:p>
      <w:pPr>
        <w:pStyle w:val="Normal"/>
        <w:ind w:left="-180" w:right="-360" w:hanging="0"/>
        <w:jc w:val="center"/>
        <w:rPr>
          <w:sz w:val="22"/>
          <w:szCs w:val="22"/>
        </w:rPr>
      </w:pPr>
      <w:r>
        <w:rPr>
          <w:color w:val="000000"/>
          <w:sz w:val="22"/>
          <w:szCs w:val="22"/>
        </w:rPr>
        <w:t>З А К Љ У Ч А К</w:t>
      </w:r>
    </w:p>
    <w:p>
      <w:pPr>
        <w:pStyle w:val="Normal"/>
        <w:ind w:left="-180" w:right="-360" w:hanging="0"/>
        <w:jc w:val="both"/>
        <w:rPr>
          <w:sz w:val="28"/>
          <w:szCs w:val="28"/>
        </w:rPr>
      </w:pPr>
      <w:r>
        <w:rPr>
          <w:sz w:val="28"/>
          <w:szCs w:val="28"/>
        </w:rPr>
      </w:r>
    </w:p>
    <w:p>
      <w:pPr>
        <w:pStyle w:val="Normal"/>
        <w:ind w:left="-180" w:right="-360" w:firstLine="360"/>
        <w:jc w:val="both"/>
        <w:rPr/>
      </w:pPr>
      <w:r>
        <w:rPr>
          <w:color w:val="000000"/>
          <w:sz w:val="22"/>
          <w:szCs w:val="22"/>
        </w:rPr>
        <w:t xml:space="preserve">1. </w:t>
      </w:r>
      <w:r>
        <w:rPr>
          <w:color w:val="000000"/>
          <w:sz w:val="23"/>
          <w:szCs w:val="23"/>
        </w:rPr>
        <w:t>ОДРЕЂУЈЕ СЕ ПРВА ПРОДАЈА НЕПОКРЕТНОСТИ ЕЛЕКТРОНСКИМ ЈАВНИМ НАДМЕТАЊЕМ следеће непокретности извршног дужника</w:t>
      </w:r>
      <w:r>
        <w:rPr>
          <w:rFonts w:eastAsia="Arial" w:cs="Times New Roman"/>
          <w:color w:val="000000"/>
          <w:sz w:val="22"/>
          <w:szCs w:val="22"/>
          <w:lang w:val="sr-CS"/>
        </w:rPr>
        <w:t xml:space="preserve"> </w:t>
      </w:r>
      <w:r>
        <w:rPr>
          <w:rFonts w:eastAsia="Arial"/>
          <w:color w:val="000000"/>
          <w:sz w:val="22"/>
          <w:szCs w:val="22"/>
        </w:rPr>
        <w:t xml:space="preserve">уписане </w:t>
      </w:r>
      <w:r>
        <w:rPr>
          <w:rFonts w:eastAsia="Arial"/>
          <w:color w:val="000000"/>
          <w:sz w:val="23"/>
          <w:szCs w:val="23"/>
        </w:rPr>
        <w:t>у</w:t>
      </w:r>
      <w:r>
        <w:rPr>
          <w:rFonts w:eastAsia="Arial" w:cs="Times New Roman"/>
          <w:color w:val="000000"/>
          <w:sz w:val="24"/>
          <w:szCs w:val="24"/>
          <w:lang w:val="sr-RS"/>
        </w:rPr>
        <w:t xml:space="preserve"> листу непокретности број 52 КО Велика Грабовница: </w:t>
      </w:r>
    </w:p>
    <w:p>
      <w:pPr>
        <w:pStyle w:val="Normal"/>
        <w:widowControl/>
        <w:suppressAutoHyphens w:val="true"/>
        <w:bidi w:val="0"/>
        <w:ind w:left="89" w:right="-540" w:hanging="0"/>
        <w:jc w:val="left"/>
        <w:rPr>
          <w:rFonts w:ascii="Times New Roman" w:hAnsi="Times New Roman" w:cs="Times New Roman"/>
          <w:sz w:val="24"/>
          <w:szCs w:val="24"/>
          <w:lang w:val="sr-CS"/>
        </w:rPr>
      </w:pPr>
      <w:r>
        <w:rPr>
          <w:rFonts w:cs="Times New Roman"/>
          <w:sz w:val="24"/>
          <w:szCs w:val="24"/>
          <w:lang w:val="sr-CS"/>
        </w:rPr>
      </w:r>
    </w:p>
    <w:p>
      <w:pPr>
        <w:pStyle w:val="Normal"/>
        <w:ind w:left="-180" w:right="-360" w:firstLine="360"/>
        <w:jc w:val="both"/>
        <w:rPr/>
      </w:pPr>
      <w:r>
        <w:rPr>
          <w:rFonts w:eastAsia="Arial" w:cs="Times New Roman"/>
          <w:b/>
          <w:bCs/>
          <w:color w:val="000000"/>
          <w:sz w:val="24"/>
          <w:szCs w:val="24"/>
          <w:lang w:val="sr-RS"/>
        </w:rPr>
        <w:t xml:space="preserve">- к.п.бр.53, </w:t>
      </w:r>
      <w:r>
        <w:rPr>
          <w:rFonts w:eastAsia="Arial" w:cs="Times New Roman"/>
          <w:b w:val="false"/>
          <w:bCs w:val="false"/>
          <w:color w:val="000000"/>
          <w:sz w:val="24"/>
          <w:szCs w:val="24"/>
          <w:lang w:val="sr-RS"/>
        </w:rPr>
        <w:t xml:space="preserve">потес Градиште, површине 7985 </w:t>
      </w:r>
      <w:r>
        <w:rPr>
          <w:rFonts w:eastAsia="Arial" w:cs="Times New Roman"/>
          <w:b w:val="false"/>
          <w:bCs w:val="false"/>
          <w:color w:val="000000"/>
          <w:position w:val="0"/>
          <w:sz w:val="24"/>
          <w:sz w:val="24"/>
          <w:szCs w:val="24"/>
          <w:vertAlign w:val="baseline"/>
          <w:lang w:val="sr-RS"/>
        </w:rPr>
        <w:t>m</w:t>
      </w:r>
      <w:r>
        <w:rPr>
          <w:rFonts w:eastAsia="Arial" w:cs="Times New Roman"/>
          <w:b w:val="false"/>
          <w:bCs w:val="false"/>
          <w:color w:val="000000"/>
          <w:sz w:val="24"/>
          <w:szCs w:val="24"/>
          <w:vertAlign w:val="superscript"/>
          <w:lang w:val="sr-RS"/>
        </w:rPr>
        <w:t>2</w:t>
      </w:r>
      <w:r>
        <w:rPr>
          <w:rFonts w:eastAsia="Arial" w:cs="Times New Roman"/>
          <w:b w:val="false"/>
          <w:bCs w:val="false"/>
          <w:color w:val="000000"/>
          <w:position w:val="0"/>
          <w:sz w:val="24"/>
          <w:sz w:val="24"/>
          <w:szCs w:val="24"/>
          <w:vertAlign w:val="baseline"/>
          <w:lang w:val="sr-RS"/>
        </w:rPr>
        <w:t>, шума 4. к</w:t>
      </w:r>
      <w:r>
        <w:rPr>
          <w:rFonts w:eastAsia="Arial" w:cs="Times New Roman"/>
          <w:b w:val="false"/>
          <w:bCs w:val="false"/>
          <w:color w:val="000000"/>
          <w:sz w:val="24"/>
          <w:szCs w:val="24"/>
          <w:lang w:val="sr-RS"/>
        </w:rPr>
        <w:t>ласе, у уделу 1/1, ч</w:t>
      </w:r>
      <w:r>
        <w:rPr>
          <w:rFonts w:eastAsia="Arial" w:cs="Times New Roman"/>
          <w:b w:val="false"/>
          <w:bCs w:val="false"/>
          <w:color w:val="000000"/>
          <w:sz w:val="22"/>
          <w:szCs w:val="22"/>
          <w:lang w:val="sr-RS"/>
        </w:rPr>
        <w:t xml:space="preserve">ија је вредност утврђена у износу од </w:t>
      </w:r>
      <w:r>
        <w:rPr>
          <w:rFonts w:eastAsia="Arial" w:cs="Times New Roman"/>
          <w:b/>
          <w:bCs/>
          <w:color w:val="000000"/>
          <w:sz w:val="22"/>
          <w:szCs w:val="22"/>
          <w:lang w:val="sr-RS"/>
        </w:rPr>
        <w:t>926.260,00</w:t>
      </w:r>
      <w:bookmarkStart w:id="0" w:name="__DdeLink__654_17464923921"/>
      <w:r>
        <w:rPr>
          <w:rFonts w:eastAsia="Arial" w:cs="Times New Roman"/>
          <w:b/>
          <w:bCs/>
          <w:color w:val="000000"/>
          <w:sz w:val="22"/>
          <w:szCs w:val="22"/>
          <w:lang w:val="sr-RS"/>
        </w:rPr>
        <w:t xml:space="preserve"> динара</w:t>
      </w:r>
      <w:bookmarkEnd w:id="0"/>
      <w:r>
        <w:rPr>
          <w:rFonts w:eastAsia="Arial" w:cs="Times New Roman"/>
          <w:b/>
          <w:bCs/>
          <w:color w:val="000000"/>
          <w:sz w:val="22"/>
          <w:szCs w:val="22"/>
          <w:lang w:val="sr-RS"/>
        </w:rPr>
        <w:t>.</w:t>
      </w:r>
    </w:p>
    <w:p>
      <w:pPr>
        <w:pStyle w:val="Normal"/>
        <w:ind w:right="-360" w:hanging="0"/>
        <w:jc w:val="both"/>
        <w:rPr>
          <w:rFonts w:cs="Times New Roman"/>
          <w:color w:val="000000"/>
          <w:lang w:val="sr-RS"/>
        </w:rPr>
      </w:pPr>
      <w:r>
        <w:rPr>
          <w:rFonts w:cs="Times New Roman"/>
          <w:color w:val="000000"/>
          <w:lang w:val="sr-RS"/>
        </w:rPr>
      </w:r>
    </w:p>
    <w:p>
      <w:pPr>
        <w:pStyle w:val="Normal"/>
        <w:ind w:left="-180" w:right="-360" w:firstLine="360"/>
        <w:jc w:val="both"/>
        <w:rPr/>
      </w:pPr>
      <w:r>
        <w:rPr>
          <w:color w:val="000000"/>
          <w:sz w:val="23"/>
          <w:szCs w:val="23"/>
        </w:rPr>
        <w:t>Процењена вредност непокретности утврђена је закључком од 03.12.2025. године.</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2. Не постоје права трећих лица која остају на непокретности  и после њене продаје, а јавни извршитељ нема сазнања о непосредним држаоцима предметне непокретности.</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3. Купац не преузима стварне и личне службености нити стварне терете.</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 xml:space="preserve">4. </w:t>
      </w:r>
      <w:r>
        <w:rPr>
          <w:b/>
          <w:bCs/>
          <w:color w:val="000000"/>
          <w:sz w:val="23"/>
          <w:szCs w:val="23"/>
        </w:rPr>
        <w:t>Прво електронско јавно надметање одржаће се 2</w:t>
      </w:r>
      <w:r>
        <w:rPr>
          <w:b/>
          <w:bCs/>
          <w:color w:val="000000"/>
          <w:sz w:val="23"/>
          <w:szCs w:val="23"/>
        </w:rPr>
        <w:t>7.02.2026</w:t>
      </w:r>
      <w:r>
        <w:rPr>
          <w:b/>
          <w:bCs/>
          <w:color w:val="000000"/>
          <w:sz w:val="23"/>
          <w:szCs w:val="23"/>
        </w:rPr>
        <w:t xml:space="preserve">. године на порталу електронског јавног надметања </w:t>
      </w:r>
      <w:hyperlink r:id="rId3">
        <w:r>
          <w:rPr>
            <w:rStyle w:val="InternetLink"/>
            <w:b/>
            <w:bCs/>
            <w:color w:val="000000"/>
            <w:sz w:val="23"/>
            <w:szCs w:val="23"/>
            <w:u w:val="none"/>
          </w:rPr>
          <w:t>www.eaukcija.sud.rs</w:t>
        </w:r>
      </w:hyperlink>
      <w:r>
        <w:rPr>
          <w:b/>
          <w:bCs/>
          <w:color w:val="000000"/>
          <w:sz w:val="23"/>
          <w:szCs w:val="23"/>
        </w:rPr>
        <w:t>, са почетком у 09:00.</w:t>
      </w:r>
    </w:p>
    <w:p>
      <w:pPr>
        <w:pStyle w:val="Normal"/>
        <w:ind w:left="-180" w:right="-360" w:firstLine="360"/>
        <w:jc w:val="both"/>
        <w:rPr/>
      </w:pPr>
      <w:r>
        <w:rPr>
          <w:color w:val="000000"/>
          <w:sz w:val="23"/>
          <w:szCs w:val="23"/>
        </w:rPr>
        <w:t>Време давања понуда траје најдуже четири сата и то од 09:00 до 13:00 часова. У случају да је најмање једна понуда дата у последњих пет минута пре истека периода из става 2. овог члана, време трајања електронског јавног надметања са продужава за још пет минута од времена одређеног за окончање електронског јавног надметања. Наведени поступак се понавља све док у последњих пет минута електронског јавног надметања не буде дата ни једна понуда, а најдуже до 15:00 часова, када се поступак електронског јавног надметања мора окончати.</w:t>
      </w:r>
    </w:p>
    <w:p>
      <w:pPr>
        <w:pStyle w:val="Normal"/>
        <w:ind w:left="-180" w:right="-360" w:firstLine="360"/>
        <w:jc w:val="both"/>
        <w:rPr>
          <w:rFonts w:eastAsia="Arial"/>
          <w:color w:val="000000"/>
          <w:sz w:val="23"/>
          <w:szCs w:val="23"/>
        </w:rPr>
      </w:pPr>
      <w:r>
        <w:rPr>
          <w:rFonts w:eastAsia="Arial"/>
          <w:color w:val="000000"/>
          <w:sz w:val="23"/>
          <w:szCs w:val="23"/>
        </w:rPr>
      </w:r>
    </w:p>
    <w:p>
      <w:pPr>
        <w:pStyle w:val="Normal"/>
        <w:ind w:left="-180" w:right="-360" w:firstLine="360"/>
        <w:jc w:val="both"/>
        <w:rPr/>
      </w:pPr>
      <w:r>
        <w:rPr>
          <w:color w:val="000000"/>
          <w:sz w:val="23"/>
          <w:szCs w:val="23"/>
        </w:rPr>
        <w:t xml:space="preserve">5. </w:t>
      </w:r>
      <w:r>
        <w:rPr>
          <w:b/>
          <w:bCs/>
          <w:color w:val="000000"/>
          <w:sz w:val="23"/>
          <w:szCs w:val="23"/>
        </w:rPr>
        <w:t>Почетна цена непокретности износи 70% од процењене вредности.</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 xml:space="preserve">6. </w:t>
      </w:r>
      <w:r>
        <w:rPr>
          <w:b/>
          <w:bCs/>
          <w:color w:val="000000"/>
          <w:sz w:val="23"/>
          <w:szCs w:val="23"/>
        </w:rPr>
        <w:t>Лицитациони корак износи 5% од почетне цене.</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7. Купац је дужан да плати продајну цену у року од 15 дана од дана доношења закључка о додељивању непокретности.</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 xml:space="preserve">8. </w:t>
      </w:r>
      <w:r>
        <w:rPr>
          <w:b/>
          <w:bCs/>
          <w:color w:val="000000"/>
          <w:sz w:val="23"/>
          <w:szCs w:val="23"/>
        </w:rPr>
        <w:t>Као понудиоци могу да учествују само лица која су положила јемство и који су регистровани</w:t>
      </w:r>
      <w:r>
        <w:rPr>
          <w:color w:val="000000"/>
          <w:sz w:val="23"/>
          <w:szCs w:val="23"/>
        </w:rPr>
        <w:t xml:space="preserve"> у складу са чланом 5. Правилника о организацији и поступку  електронског јавног надметања (Сл. Гласник РС бр.14/20).</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 xml:space="preserve">9. </w:t>
      </w:r>
      <w:r>
        <w:rPr>
          <w:b/>
          <w:bCs/>
          <w:color w:val="000000"/>
          <w:sz w:val="23"/>
          <w:szCs w:val="23"/>
        </w:rPr>
        <w:t xml:space="preserve">Јемство износи 15% од процењене вредности непокретности за коју се лицитира. </w:t>
      </w:r>
      <w:r>
        <w:rPr>
          <w:color w:val="000000"/>
          <w:sz w:val="23"/>
          <w:szCs w:val="23"/>
        </w:rPr>
        <w:t xml:space="preserve">Јемство се уплаћује најкасније два дана пре одржавања јавног надметања. Јемство за учешће на електронском јавном надметању уплаћује се на рачун министарства, који је објављен на интернет страници портала </w:t>
      </w:r>
      <w:r>
        <w:rPr>
          <w:b/>
          <w:bCs/>
          <w:color w:val="000000"/>
          <w:sz w:val="23"/>
          <w:szCs w:val="23"/>
        </w:rPr>
        <w:t xml:space="preserve"> </w:t>
      </w:r>
      <w:hyperlink r:id="rId4">
        <w:r>
          <w:rPr>
            <w:rStyle w:val="InternetLink"/>
            <w:b/>
            <w:bCs/>
            <w:color w:val="000000"/>
            <w:sz w:val="23"/>
            <w:szCs w:val="23"/>
            <w:u w:val="none"/>
          </w:rPr>
          <w:t>www.eaukcija.sud.rs</w:t>
        </w:r>
      </w:hyperlink>
      <w:r>
        <w:rPr>
          <w:color w:val="000000"/>
          <w:sz w:val="23"/>
          <w:szCs w:val="23"/>
        </w:rPr>
        <w:t>, све у складу са чланом 175. ЗИО и у складу са чланом 8 Правилника о организацији и поступку електронској јавног надметања (Сл. Гласник РС бр.14/20).</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10. Извршни поверилац и заложни поверилац не полажу јемство ако њихова потраживање не досежу износ јемства и ако би, с обзиром на њихов редослед намирења и процену вредности непокретности, износ јемства могао да се намири из продајне цене.</w:t>
      </w:r>
    </w:p>
    <w:p>
      <w:pPr>
        <w:pStyle w:val="Normal"/>
        <w:ind w:left="-180" w:right="-360" w:firstLine="360"/>
        <w:jc w:val="both"/>
        <w:rPr>
          <w:rFonts w:eastAsia="Arial"/>
          <w:color w:val="000000"/>
          <w:sz w:val="23"/>
          <w:szCs w:val="23"/>
        </w:rPr>
      </w:pPr>
      <w:r>
        <w:rPr>
          <w:rFonts w:eastAsia="Arial"/>
          <w:color w:val="000000"/>
          <w:sz w:val="23"/>
          <w:szCs w:val="23"/>
        </w:rPr>
      </w:r>
    </w:p>
    <w:p>
      <w:pPr>
        <w:pStyle w:val="Normal"/>
        <w:ind w:left="-180" w:right="-360" w:firstLine="360"/>
        <w:jc w:val="both"/>
        <w:rPr/>
      </w:pPr>
      <w:r>
        <w:rPr>
          <w:color w:val="000000"/>
          <w:sz w:val="23"/>
          <w:szCs w:val="23"/>
        </w:rPr>
        <w:t>Имаоци права прече куповине полажу јемство.</w:t>
      </w:r>
    </w:p>
    <w:p>
      <w:pPr>
        <w:pStyle w:val="Normal"/>
        <w:ind w:left="-180" w:right="-360" w:firstLine="360"/>
        <w:jc w:val="both"/>
        <w:rPr>
          <w:b/>
          <w:b/>
          <w:bCs/>
          <w:color w:val="000000"/>
          <w:sz w:val="23"/>
          <w:szCs w:val="23"/>
        </w:rPr>
      </w:pPr>
      <w:r>
        <w:rPr>
          <w:b/>
          <w:bCs/>
          <w:color w:val="000000"/>
          <w:sz w:val="23"/>
          <w:szCs w:val="23"/>
        </w:rPr>
      </w:r>
    </w:p>
    <w:p>
      <w:pPr>
        <w:pStyle w:val="Normal"/>
        <w:ind w:left="-180" w:right="-360" w:firstLine="360"/>
        <w:jc w:val="both"/>
        <w:rPr/>
      </w:pPr>
      <w:r>
        <w:rPr>
          <w:color w:val="000000"/>
          <w:sz w:val="23"/>
          <w:szCs w:val="23"/>
        </w:rPr>
        <w:t>11. Купац непокретности ни на јавном надметању, ни непосредном погодбом не може бити извршни дужник.</w:t>
      </w:r>
    </w:p>
    <w:p>
      <w:pPr>
        <w:pStyle w:val="Normal"/>
        <w:ind w:left="-180" w:right="-360" w:firstLine="360"/>
        <w:jc w:val="both"/>
        <w:rPr/>
      </w:pPr>
      <w:r>
        <w:rPr>
          <w:color w:val="000000"/>
          <w:sz w:val="23"/>
          <w:szCs w:val="23"/>
        </w:rPr>
        <w:t xml:space="preserve">Купац непокретности не може бити ни јавни извршитељ,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линији, а у побочној до четвртог степена сродства, супружник, ванбрачни партнер, тазбински сродник до другог степена сродства, старатељ, штићеник, усвојитељ, усвојеник, хранитељ или храњеник. </w:t>
      </w:r>
    </w:p>
    <w:p>
      <w:pPr>
        <w:pStyle w:val="Normal"/>
        <w:ind w:left="-180" w:right="-360" w:firstLine="360"/>
        <w:jc w:val="both"/>
        <w:rPr/>
      </w:pPr>
      <w:r>
        <w:rPr>
          <w:color w:val="000000"/>
          <w:sz w:val="23"/>
          <w:szCs w:val="23"/>
        </w:rPr>
        <w:t>Купац непокретности не може бити ни свако друго лице које службено учествује у конкретном извршном поступку.</w:t>
      </w:r>
    </w:p>
    <w:p>
      <w:pPr>
        <w:pStyle w:val="Normal"/>
        <w:ind w:left="-180" w:right="-360" w:firstLine="360"/>
        <w:jc w:val="both"/>
        <w:rPr/>
      </w:pPr>
      <w:r>
        <w:rPr>
          <w:color w:val="000000"/>
          <w:sz w:val="23"/>
          <w:szCs w:val="23"/>
        </w:rPr>
        <w:t xml:space="preserve">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до четвртог степена сродства, супружник, ванбрачни партнер, тазбински сродник до другог степена сродства, старатељ, штићеник, усвојитељ, усвојеник, хранитељ или храњеник. </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12. Заинтересована лица могу 1</w:t>
      </w:r>
      <w:r>
        <w:rPr>
          <w:color w:val="000000"/>
          <w:sz w:val="23"/>
          <w:szCs w:val="23"/>
        </w:rPr>
        <w:t>7.02.2026</w:t>
      </w:r>
      <w:r>
        <w:rPr>
          <w:color w:val="000000"/>
          <w:sz w:val="23"/>
          <w:szCs w:val="23"/>
        </w:rPr>
        <w:t>. године у периоду од 10:00 до 12:00 часова да разгледају наведену непокретност, уз претходну најаву јавном извршитељу путем телефона: 065/345-84-76.</w:t>
      </w:r>
    </w:p>
    <w:p>
      <w:pPr>
        <w:pStyle w:val="Normal"/>
        <w:ind w:left="-180" w:right="-360" w:firstLine="360"/>
        <w:jc w:val="both"/>
        <w:rPr>
          <w:rFonts w:eastAsia="Arial"/>
          <w:color w:val="000000"/>
          <w:sz w:val="23"/>
          <w:szCs w:val="23"/>
        </w:rPr>
      </w:pPr>
      <w:r>
        <w:rPr>
          <w:rFonts w:eastAsia="Arial"/>
          <w:color w:val="000000"/>
          <w:sz w:val="23"/>
          <w:szCs w:val="23"/>
        </w:rPr>
      </w:r>
    </w:p>
    <w:p>
      <w:pPr>
        <w:pStyle w:val="Normal"/>
        <w:ind w:left="-180" w:right="-360" w:firstLine="360"/>
        <w:jc w:val="both"/>
        <w:rPr/>
      </w:pPr>
      <w:r>
        <w:rPr>
          <w:color w:val="000000"/>
          <w:sz w:val="23"/>
          <w:szCs w:val="23"/>
        </w:rPr>
        <w:t xml:space="preserve">НАЛАЖЕ СЕ ИЗВРШНОМ ДУЖНИКУ И СВИМ ТРЕЋИМ ЛИЦИМА ДА ОМОГУЋЕ РАЗГЛЕДАЊЕ У НАВЕДЕНО ВРЕМЕ, под претњом кажњавања. </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13. У катастру не постоји уписан ималац права прече куповине.</w:t>
      </w:r>
    </w:p>
    <w:p>
      <w:pPr>
        <w:pStyle w:val="Normal"/>
        <w:ind w:left="-180" w:right="-360" w:firstLine="360"/>
        <w:jc w:val="both"/>
        <w:rPr>
          <w:color w:val="000000"/>
          <w:sz w:val="23"/>
          <w:szCs w:val="23"/>
        </w:rPr>
      </w:pPr>
      <w:r>
        <w:rPr>
          <w:color w:val="000000"/>
          <w:sz w:val="23"/>
          <w:szCs w:val="23"/>
        </w:rPr>
      </w:r>
    </w:p>
    <w:p>
      <w:pPr>
        <w:pStyle w:val="Normal"/>
        <w:ind w:left="-180" w:right="-360" w:firstLine="360"/>
        <w:jc w:val="both"/>
        <w:rPr/>
      </w:pPr>
      <w:r>
        <w:rPr>
          <w:color w:val="000000"/>
          <w:sz w:val="23"/>
          <w:szCs w:val="23"/>
        </w:rPr>
        <w:t>14. Непокретност ће бити додељена у складу са чланом 180. и 181. Закона о извршењу и обезбеђењу</w:t>
      </w:r>
      <w:bookmarkStart w:id="1" w:name="__DdeLink__834_1746492392"/>
      <w:r>
        <w:rPr>
          <w:color w:val="000000"/>
          <w:sz w:val="23"/>
          <w:szCs w:val="23"/>
        </w:rPr>
        <w:t xml:space="preserve"> (Сл.Гласник PC 106/2015 и 54/19). </w:t>
      </w:r>
      <w:bookmarkEnd w:id="1"/>
      <w:r>
        <w:rPr>
          <w:color w:val="000000"/>
          <w:sz w:val="23"/>
          <w:szCs w:val="23"/>
        </w:rPr>
        <w:t xml:space="preserve">Враћање и задржавање положеног јемства дефинисано је чланом 182. Закона о извршењу и обезбеђењу (Сл.Гласник PC 106/2015 и 54/19). </w:t>
      </w:r>
    </w:p>
    <w:p>
      <w:pPr>
        <w:pStyle w:val="Normal"/>
        <w:tabs>
          <w:tab w:val="left" w:pos="630" w:leader="none"/>
        </w:tabs>
        <w:ind w:left="-180" w:right="-360" w:firstLine="809"/>
        <w:jc w:val="both"/>
        <w:rPr/>
      </w:pPr>
      <w:r>
        <w:rPr>
          <w:color w:val="000000"/>
          <w:sz w:val="23"/>
          <w:szCs w:val="23"/>
        </w:rPr>
        <w:t>ПОУКА О ПРАВНОМ ЛЕКУ: Против овог закључка није дозвољен приговор.</w:t>
      </w:r>
    </w:p>
    <w:p>
      <w:pPr>
        <w:pStyle w:val="Normal"/>
        <w:ind w:right="-360" w:hanging="0"/>
        <w:jc w:val="both"/>
        <w:rPr>
          <w:color w:val="000000"/>
          <w:sz w:val="12"/>
          <w:szCs w:val="12"/>
          <w:lang w:val="sr-Latn-RS"/>
        </w:rPr>
      </w:pPr>
      <w:r>
        <w:rPr>
          <w:color w:val="000000"/>
          <w:sz w:val="12"/>
          <w:szCs w:val="12"/>
          <w:lang w:val="sr-Latn-RS"/>
        </w:rPr>
      </w:r>
    </w:p>
    <w:p>
      <w:pPr>
        <w:pStyle w:val="Normal"/>
        <w:ind w:left="-180" w:right="-360" w:hanging="0"/>
        <w:rPr/>
      </w:pPr>
      <w:r>
        <w:rPr>
          <w:color w:val="000000"/>
          <w:sz w:val="23"/>
          <w:szCs w:val="23"/>
        </w:rPr>
        <w:t xml:space="preserve">                                                                                                                  </w:t>
      </w:r>
      <w:r>
        <w:rPr>
          <w:color w:val="000000"/>
          <w:sz w:val="23"/>
          <w:szCs w:val="23"/>
        </w:rPr>
        <w:t>ЈАВНИ ИЗВРШИТЕЉ</w:t>
      </w:r>
    </w:p>
    <w:p>
      <w:pPr>
        <w:pStyle w:val="Normal"/>
        <w:ind w:left="89" w:right="-360" w:firstLine="540"/>
        <w:jc w:val="both"/>
        <w:rPr/>
      </w:pPr>
      <w:r>
        <w:rPr>
          <w:rFonts w:eastAsia="Arial"/>
          <w:color w:val="000000"/>
          <w:sz w:val="23"/>
          <w:szCs w:val="23"/>
        </w:rPr>
        <w:t xml:space="preserve">                                                                                                             </w:t>
      </w:r>
      <w:r>
        <w:rPr>
          <w:rFonts w:eastAsia="Arial"/>
          <w:color w:val="000000"/>
          <w:sz w:val="23"/>
          <w:szCs w:val="23"/>
        </w:rPr>
        <w:t>Омер Екић</w:t>
      </w:r>
    </w:p>
    <w:sectPr>
      <w:type w:val="nextPage"/>
      <w:pgSz w:w="12240" w:h="15840"/>
      <w:pgMar w:left="1800" w:right="1800" w:header="0" w:top="1080" w:footer="0" w:bottom="72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81"/>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jc w:val="left"/>
    </w:pPr>
    <w:rPr>
      <w:rFonts w:ascii="Times New Roman" w:hAnsi="Times New Roman" w:eastAsia="Times New Roman"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customStyle="1">
    <w:name w:val="Internet Link"/>
    <w:rsid w:val="000b617b"/>
    <w:rPr>
      <w:color w:val="0000FF"/>
      <w:u w:val="single"/>
    </w:rPr>
  </w:style>
  <w:style w:type="character" w:styleId="BalloonTextChar" w:customStyle="1">
    <w:name w:val="Balloon Text Char"/>
    <w:link w:val="BalloonText"/>
    <w:qFormat/>
    <w:rsid w:val="00d942d6"/>
    <w:rPr>
      <w:rFonts w:ascii="Tahoma" w:hAnsi="Tahoma" w:cs="Tahoma"/>
      <w:sz w:val="16"/>
      <w:szCs w:val="16"/>
    </w:rPr>
  </w:style>
  <w:style w:type="character" w:styleId="ListLabel1" w:customStyle="1">
    <w:name w:val="ListLabel 1"/>
    <w:qFormat/>
    <w:rPr>
      <w:rFonts w:eastAsia="Times New Roman"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eastAsia="Times New Roman" w:cs="Times New Roman"/>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StrongEmphasis" w:customStyle="1">
    <w:name w:val="Strong Emphasis"/>
    <w:qFormat/>
    <w:rPr>
      <w:b/>
      <w:bCs/>
    </w:rPr>
  </w:style>
  <w:style w:type="paragraph" w:styleId="Heading" w:customStyle="1">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rPr>
  </w:style>
  <w:style w:type="paragraph" w:styleId="NoSpacing">
    <w:name w:val="No Spacing"/>
    <w:uiPriority w:val="1"/>
    <w:qFormat/>
    <w:rsid w:val="00a31c49"/>
    <w:pPr>
      <w:widowControl/>
      <w:bidi w:val="0"/>
      <w:jc w:val="left"/>
    </w:pPr>
    <w:rPr>
      <w:rFonts w:ascii="Calibri" w:hAnsi="Calibri" w:eastAsia="Calibri" w:cs="Times New Roman"/>
      <w:color w:val="00000A"/>
      <w:sz w:val="22"/>
      <w:szCs w:val="22"/>
      <w:lang w:val="en-US" w:eastAsia="en-US" w:bidi="ar-SA"/>
    </w:rPr>
  </w:style>
  <w:style w:type="paragraph" w:styleId="BalloonText">
    <w:name w:val="Balloon Text"/>
    <w:basedOn w:val="Normal"/>
    <w:link w:val="BalloonTextChar"/>
    <w:qFormat/>
    <w:rsid w:val="00d942d6"/>
    <w:pPr/>
    <w:rPr>
      <w:rFonts w:ascii="Tahoma" w:hAnsi="Tahoma" w:cs="Tahoma"/>
      <w:sz w:val="16"/>
      <w:szCs w:val="16"/>
    </w:rPr>
  </w:style>
  <w:style w:type="paragraph" w:styleId="ListParagraph">
    <w:name w:val="List Paragraph"/>
    <w:basedOn w:val="Normal"/>
    <w:uiPriority w:val="34"/>
    <w:qFormat/>
    <w:rsid w:val="00d34141"/>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2b30e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eaukcija.sud.rs/" TargetMode="External"/><Relationship Id="rId4" Type="http://schemas.openxmlformats.org/officeDocument/2006/relationships/hyperlink" Target="http://www.eaukcija.sud.rs/"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2F49B-C1DC-40F8-9328-A2B21EE9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Application>LibreOffice/5.1.6.2$Linux_X86_64 LibreOffice_project/10m0$Build-2</Application>
  <Pages>2</Pages>
  <Words>721</Words>
  <Characters>4140</Characters>
  <CharactersWithSpaces>5061</CharactersWithSpaces>
  <Paragraphs>33</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2017-07-29T07:34:00Z</dcterms:created>
  <dc:creator>MSI K9N NEO-F</dc:creator>
  <dc:description/>
  <dc:language>en-US</dc:language>
  <cp:lastModifiedBy/>
  <cp:lastPrinted>2020-08-27T15:05:00Z</cp:lastPrinted>
  <dcterms:modified xsi:type="dcterms:W3CDTF">2026-02-03T12:26:16Z</dcterms:modified>
  <cp:revision>157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